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96" w:rsidRPr="005B55AC" w:rsidRDefault="007F0396" w:rsidP="007F0396">
      <w:pPr>
        <w:tabs>
          <w:tab w:val="left" w:pos="4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r w:rsidRPr="007F0396">
        <w:rPr>
          <w:rFonts w:ascii="Monotype Corsiva" w:eastAsia="MS Mincho" w:hAnsi="Monotype Corsiva" w:cs="Times New Roman"/>
          <w:b/>
          <w:bCs/>
          <w:color w:val="993366"/>
          <w:sz w:val="44"/>
          <w:szCs w:val="44"/>
          <w:lang w:val="uk-UA" w:eastAsia="ja-JP"/>
        </w:rPr>
        <w:t xml:space="preserve">2 семестр             </w:t>
      </w:r>
      <w:r>
        <w:rPr>
          <w:rFonts w:ascii="Monotype Corsiva" w:eastAsia="MS Mincho" w:hAnsi="Monotype Corsiva" w:cs="Times New Roman"/>
          <w:b/>
          <w:bCs/>
          <w:color w:val="993366"/>
          <w:sz w:val="44"/>
          <w:szCs w:val="44"/>
          <w:lang w:val="uk-UA" w:eastAsia="ja-JP"/>
        </w:rPr>
        <w:t xml:space="preserve">        Зарубіжна література  6 </w:t>
      </w:r>
      <w:r w:rsidRPr="007F0396">
        <w:rPr>
          <w:rFonts w:ascii="Monotype Corsiva" w:eastAsia="MS Mincho" w:hAnsi="Monotype Corsiva" w:cs="Times New Roman"/>
          <w:b/>
          <w:bCs/>
          <w:color w:val="993366"/>
          <w:sz w:val="44"/>
          <w:szCs w:val="44"/>
          <w:lang w:val="uk-UA" w:eastAsia="ja-JP"/>
        </w:rPr>
        <w:t>клас</w:t>
      </w:r>
    </w:p>
    <w:tbl>
      <w:tblPr>
        <w:tblW w:w="11513" w:type="dxa"/>
        <w:tblInd w:w="-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71"/>
        <w:gridCol w:w="8789"/>
        <w:gridCol w:w="992"/>
        <w:gridCol w:w="30"/>
      </w:tblGrid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547FD0" w:rsidRDefault="007F0396" w:rsidP="000944F8">
            <w:pPr>
              <w:spacing w:after="0" w:line="240" w:lineRule="auto"/>
              <w:jc w:val="center"/>
              <w:rPr>
                <w:rFonts w:ascii="Arbat" w:eastAsia="Times New Roman" w:hAnsi="Arbat" w:cs="Times New Roman"/>
                <w:sz w:val="24"/>
                <w:szCs w:val="24"/>
                <w:lang w:val="uk-UA" w:eastAsia="ru-RU"/>
              </w:rPr>
            </w:pPr>
            <w:r w:rsidRPr="00547FD0">
              <w:rPr>
                <w:rFonts w:ascii="Times New Roman" w:eastAsia="Times New Roman" w:hAnsi="Times New Roman" w:cs="Times New Roman"/>
                <w:b/>
                <w:color w:val="962A7A"/>
                <w:sz w:val="28"/>
                <w:szCs w:val="28"/>
                <w:lang w:val="uk-UA" w:eastAsia="ru-RU"/>
              </w:rPr>
              <w:t>№</w:t>
            </w:r>
            <w:r w:rsidRPr="00547FD0">
              <w:rPr>
                <w:rFonts w:ascii="Arbat" w:eastAsia="Times New Roman" w:hAnsi="Arbat" w:cs="Times New Roman"/>
                <w:b/>
                <w:color w:val="962A7A"/>
                <w:sz w:val="28"/>
                <w:szCs w:val="28"/>
                <w:lang w:val="uk-UA" w:eastAsia="ru-RU"/>
              </w:rPr>
              <w:br/>
            </w:r>
            <w:r w:rsidRPr="00547FD0">
              <w:rPr>
                <w:rFonts w:ascii="Arbat" w:eastAsia="Times New Roman" w:hAnsi="Arbat" w:cs="Arbat"/>
                <w:b/>
                <w:color w:val="962A7A"/>
                <w:sz w:val="28"/>
                <w:szCs w:val="28"/>
                <w:lang w:val="uk-UA" w:eastAsia="ru-RU"/>
              </w:rPr>
              <w:t>п</w:t>
            </w:r>
            <w:r w:rsidRPr="00547FD0">
              <w:rPr>
                <w:rFonts w:ascii="Arbat" w:eastAsia="Times New Roman" w:hAnsi="Arbat" w:cs="Times New Roman"/>
                <w:b/>
                <w:color w:val="962A7A"/>
                <w:sz w:val="28"/>
                <w:szCs w:val="28"/>
                <w:lang w:val="uk-UA" w:eastAsia="ru-RU"/>
              </w:rPr>
              <w:t>/</w:t>
            </w:r>
            <w:r w:rsidRPr="00547FD0">
              <w:rPr>
                <w:rFonts w:ascii="Arbat" w:eastAsia="Times New Roman" w:hAnsi="Arbat" w:cs="Arbat"/>
                <w:b/>
                <w:color w:val="962A7A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547FD0" w:rsidRDefault="007F0396" w:rsidP="000944F8">
            <w:pPr>
              <w:spacing w:after="0" w:line="240" w:lineRule="auto"/>
              <w:jc w:val="center"/>
              <w:rPr>
                <w:rFonts w:ascii="Arbat" w:eastAsia="Times New Roman" w:hAnsi="Arbat" w:cs="Times New Roman"/>
                <w:sz w:val="24"/>
                <w:szCs w:val="24"/>
                <w:lang w:val="uk-UA" w:eastAsia="ru-RU"/>
              </w:rPr>
            </w:pPr>
            <w:r w:rsidRPr="00547FD0">
              <w:rPr>
                <w:rFonts w:ascii="Arbat" w:eastAsia="Times New Roman" w:hAnsi="Arbat" w:cs="Times New Roman"/>
                <w:b/>
                <w:color w:val="962A7A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spacing w:after="0" w:line="240" w:lineRule="auto"/>
              <w:jc w:val="center"/>
              <w:rPr>
                <w:rFonts w:ascii="Arbat" w:eastAsia="Times New Roman" w:hAnsi="Arbat" w:cs="Times New Roman"/>
                <w:sz w:val="40"/>
                <w:szCs w:val="40"/>
                <w:lang w:val="uk-UA" w:eastAsia="ru-RU"/>
              </w:rPr>
            </w:pPr>
            <w:r w:rsidRPr="00547FD0">
              <w:rPr>
                <w:rFonts w:ascii="Arbat" w:eastAsia="Times New Roman" w:hAnsi="Arbat" w:cs="Times New Roman"/>
                <w:b/>
                <w:color w:val="962A7A"/>
                <w:sz w:val="40"/>
                <w:szCs w:val="40"/>
                <w:lang w:val="uk-UA" w:eastAsia="ru-RU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spacing w:after="0" w:line="240" w:lineRule="auto"/>
              <w:jc w:val="center"/>
              <w:rPr>
                <w:rFonts w:ascii="Arbat" w:eastAsia="Times New Roman" w:hAnsi="Arbat" w:cs="Times New Roman"/>
                <w:sz w:val="24"/>
                <w:szCs w:val="24"/>
                <w:lang w:val="uk-UA" w:eastAsia="ru-RU"/>
              </w:rPr>
            </w:pPr>
            <w:r w:rsidRPr="00547FD0">
              <w:rPr>
                <w:rFonts w:ascii="Arbat" w:eastAsia="Times New Roman" w:hAnsi="Arbat" w:cs="Times New Roman"/>
                <w:b/>
                <w:color w:val="962A7A"/>
                <w:lang w:val="uk-UA" w:eastAsia="ru-RU"/>
              </w:rPr>
              <w:t>Прим</w:t>
            </w:r>
            <w:r w:rsidRPr="00547FD0">
              <w:rPr>
                <w:rFonts w:ascii="Times New Roman" w:eastAsia="Times New Roman" w:hAnsi="Times New Roman" w:cs="Times New Roman"/>
                <w:b/>
                <w:color w:val="962A7A"/>
                <w:lang w:val="uk-UA" w:eastAsia="ru-RU"/>
              </w:rPr>
              <w:t>і</w:t>
            </w:r>
            <w:r w:rsidRPr="00547FD0">
              <w:rPr>
                <w:rFonts w:ascii="Arbat" w:eastAsia="Times New Roman" w:hAnsi="Arbat" w:cs="Arbat"/>
                <w:b/>
                <w:color w:val="962A7A"/>
                <w:lang w:val="uk-UA" w:eastAsia="ru-RU"/>
              </w:rPr>
              <w:t>тки</w:t>
            </w: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1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t>Людські стосунки</w:t>
            </w:r>
          </w:p>
        </w:tc>
      </w:tr>
      <w:tr w:rsidR="007F0396" w:rsidRPr="000B36F4" w:rsidTr="000944F8">
        <w:trPr>
          <w:gridAfter w:val="1"/>
          <w:wAfter w:w="30" w:type="dxa"/>
          <w:trHeight w:val="35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A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  <w:bookmarkStart w:id="0" w:name="_GoBack"/>
            <w:bookmarkEnd w:id="0"/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Антон Павлович Чехов (1860 — 1904). «Хамелеон», «Товстий і тонкий».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Викриття пристосуванства, підлабузництва в оповіданнях А. П. Чехова. Діалог як основна форма розкриття сюжету.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251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Майстерність письменника 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малюванні персонажів. Роль худо</w:t>
            </w: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жньої деталі. Підтекст. Символічність назви.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Джек Лондон (1876 — 1916). «Жага до життя». Проблеми життя і смерті, дружби й зрадництва у творі.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38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героїв твору.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36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4040AB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C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Описи природи та їхня роль у тексті.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«Людина з великим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 сильним серцем» — В. Короленко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37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знайти себе у цьому світі? (Повість В. Короленка «Сліпий музикант»)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Роль близьких людей у долі Петра Попельського.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природа, народні образи й традиції в повісті В. Короленка «Сліпий музикант». Тема мистецтва у творі)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0129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129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 w:eastAsia="ru-RU"/>
              </w:rPr>
              <w:t>Розвиток мовлення. Висловлювання власної думки щодо прочитаного (за творами А. Чехова, Дж. Лондона, В. Короленка А. де Сент-Екзюпері)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5" w:type="dxa"/>
              <w:left w:w="57" w:type="dxa"/>
              <w:bottom w:w="130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Контрольна робота за темою «Людські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стосунки»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5" w:type="dxa"/>
              <w:left w:w="57" w:type="dxa"/>
              <w:bottom w:w="130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trHeight w:val="113"/>
        </w:trPr>
        <w:tc>
          <w:tcPr>
            <w:tcW w:w="1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t>Поетичне бачення світу</w:t>
            </w:r>
          </w:p>
        </w:tc>
        <w:tc>
          <w:tcPr>
            <w:tcW w:w="30" w:type="dxa"/>
          </w:tcPr>
          <w:p w:rsidR="007F0396" w:rsidRPr="00194571" w:rsidRDefault="007F0396" w:rsidP="000944F8">
            <w:pPr>
              <w:rPr>
                <w:lang w:val="uk-UA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Відображення японських уявлень про красу в поезії МацуоБасьо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331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4558EA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Ідея любові до батьківщини у вірші Р. Бернса «Моє серце в верховині…»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5A7F50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F0396" w:rsidRPr="007F0396" w:rsidRDefault="007F0396" w:rsidP="007F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0396" w:rsidRPr="00EA30E1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Г. Лонгфелло. «Пісня про Гайавату» — літопис життя давніх індіанців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0" w:type="dxa"/>
              <w:bottom w:w="125" w:type="dxa"/>
              <w:right w:w="0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Італійський дитячий письменник Дж. Родарі. Вірш «Листівки з видами міст»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D532FE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 w:eastAsia="ru-RU"/>
              </w:rPr>
              <w:t xml:space="preserve">Контрольний твір. </w:t>
            </w:r>
            <w:r w:rsidRPr="00D532F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 w:eastAsia="ru-RU"/>
              </w:rPr>
              <w:t xml:space="preserve"> Написання твору на літературну тему (поезія МацуоБасьо, Р. Бернса, Г. Лонгфелло, Дж. Родарі)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за темою «Поетичне бачення світу» (творчість МацуоБасьо, Р. Бернса, Г. Лонгфелло, Дж. Родарі)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uk-UA" w:eastAsia="ru-RU"/>
              </w:rPr>
              <w:t xml:space="preserve">Позакласне читання.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Казкова повість П. Л. Треверс «Мері Поппінс»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trHeight w:val="113"/>
        </w:trPr>
        <w:tc>
          <w:tcPr>
            <w:tcW w:w="1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lastRenderedPageBreak/>
              <w:t>Образ майбутнього в літературі</w:t>
            </w:r>
          </w:p>
        </w:tc>
        <w:tc>
          <w:tcPr>
            <w:tcW w:w="30" w:type="dxa"/>
          </w:tcPr>
          <w:p w:rsidR="007F0396" w:rsidRPr="00D25C18" w:rsidRDefault="007F0396" w:rsidP="000944F8">
            <w:pPr>
              <w:rPr>
                <w:lang w:val="uk-UA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ким буде майбутнє? (Оповідання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Д. Бредбері «Усмішка»)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Тривога за руйнування духовних цінностей (оповідання Р. Д. Бредбері «Усмішка»)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2" w:type="dxa"/>
              <w:left w:w="57" w:type="dxa"/>
              <w:bottom w:w="125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EA30E1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uk-UA" w:eastAsia="ru-RU"/>
              </w:rPr>
              <w:t>Позакласне читання.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Фантастичні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розповіді про реальне життя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(оповідання Р. Д. Бредбері «Все літо в одному дні» і «Час, ось твій політ»)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2" w:type="dxa"/>
              <w:left w:w="57" w:type="dxa"/>
              <w:bottom w:w="125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Фантаст Р. Шеклі та його оповідання «Запах думки»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Гуманістичний зміст оповідання Р. Шеклі «Запах думки»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194571" w:rsidRDefault="007F0396" w:rsidP="000944F8">
            <w:pPr>
              <w:spacing w:line="240" w:lineRule="auto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 w:eastAsia="ru-RU"/>
              </w:rPr>
              <w:t>Розвиток мовлення. Створення фантастичного оповідання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194571" w:rsidRDefault="007F0396" w:rsidP="000944F8">
            <w:pPr>
              <w:spacing w:line="240" w:lineRule="auto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2790F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79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Контрольна робота за темою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«Образ майбутнього в літературі»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B36F4" w:rsidTr="000944F8">
        <w:trPr>
          <w:trHeight w:val="485"/>
        </w:trPr>
        <w:tc>
          <w:tcPr>
            <w:tcW w:w="1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22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t>Сучасна література</w:t>
            </w:r>
          </w:p>
        </w:tc>
        <w:tc>
          <w:tcPr>
            <w:tcW w:w="30" w:type="dxa"/>
          </w:tcPr>
          <w:p w:rsidR="007F0396" w:rsidRPr="00D25C18" w:rsidRDefault="007F0396" w:rsidP="000944F8">
            <w:pPr>
              <w:rPr>
                <w:lang w:val="uk-UA"/>
              </w:rPr>
            </w:pPr>
          </w:p>
        </w:tc>
      </w:tr>
      <w:tr w:rsidR="007F0396" w:rsidRPr="005A7F50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940A4E" w:rsidRDefault="007F0396" w:rsidP="000944F8">
            <w:pPr>
              <w:spacing w:line="240" w:lineRule="auto"/>
              <w:rPr>
                <w:lang w:val="en-US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«Чарівниця зі Швеції» А. Ліндґрен та її повість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Міо, мій Міо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5A7F50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8348A6" w:rsidRDefault="007F0396" w:rsidP="000944F8">
            <w:pPr>
              <w:spacing w:line="240" w:lineRule="auto"/>
              <w:rPr>
                <w:color w:val="000000"/>
                <w:lang w:val="uk-UA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Моральні цінності в повісті А. Ліндґрен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Міо, мій Міо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B03227" w:rsidTr="000944F8">
        <w:trPr>
          <w:gridAfter w:val="1"/>
          <w:wAfter w:w="30" w:type="dxa"/>
          <w:trHeight w:val="11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CB64EF" w:rsidRDefault="007F0396" w:rsidP="007F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B0322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50B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Образи головних героїв. Перемога добра над злом.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9C59A7" w:rsidTr="000944F8">
        <w:trPr>
          <w:gridAfter w:val="1"/>
          <w:wAfter w:w="30" w:type="dxa"/>
          <w:trHeight w:val="531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CB64EF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  <w:p w:rsidR="007F0396" w:rsidRPr="00CB64EF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Енде та його фантастична повість «Джим Ґудзик і машиніст Лукас»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02790F" w:rsidTr="000944F8">
        <w:trPr>
          <w:gridAfter w:val="1"/>
          <w:wAfter w:w="30" w:type="dxa"/>
          <w:trHeight w:val="38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50B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Фантастична країна Усландія та її мешканці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9C59A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96" w:rsidRPr="005A7F50" w:rsidTr="000944F8">
        <w:trPr>
          <w:gridAfter w:val="1"/>
          <w:wAfter w:w="30" w:type="dxa"/>
          <w:trHeight w:val="61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9C59A7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Моральні цінності, що утверджуються у творі М. Енде «Джим Ґудзик </w:t>
            </w:r>
            <w:r w:rsidRPr="000B3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 машиніст Лукас»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5A7F50" w:rsidTr="000944F8">
        <w:trPr>
          <w:gridAfter w:val="1"/>
          <w:wAfter w:w="30" w:type="dxa"/>
          <w:trHeight w:val="492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Контрольна робота </w:t>
            </w:r>
            <w:r w:rsidRPr="00B032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 темою «Сучасна література. Зростання і взаємини зі світом» (творчість А. Ліндґрен, М. Енде, К. Нестлінґер)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396" w:rsidRPr="00CB64EF" w:rsidTr="000944F8">
        <w:trPr>
          <w:gridAfter w:val="1"/>
          <w:wAfter w:w="30" w:type="dxa"/>
          <w:trHeight w:val="12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</w:t>
            </w:r>
          </w:p>
          <w:p w:rsidR="007F0396" w:rsidRPr="007F0396" w:rsidRDefault="007F0396" w:rsidP="0009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547FD0" w:rsidRDefault="007F0396" w:rsidP="0009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Узагальнення вивчено за рік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7F0396" w:rsidRPr="000B36F4" w:rsidRDefault="007F0396" w:rsidP="0009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F0396" w:rsidRDefault="007F0396" w:rsidP="007F0396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7F0396" w:rsidRDefault="007F0396" w:rsidP="007F0396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7F0396" w:rsidRDefault="007F0396" w:rsidP="007F0396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7F0396" w:rsidRDefault="007F0396" w:rsidP="007F0396">
      <w:pPr>
        <w:widowControl w:val="0"/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3922EB" w:rsidRDefault="007F0396" w:rsidP="007F0396">
      <w:pPr>
        <w:ind w:left="-426"/>
      </w:pPr>
    </w:p>
    <w:sectPr w:rsidR="003922EB" w:rsidSect="007F039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96"/>
    <w:rsid w:val="00354A86"/>
    <w:rsid w:val="007629EC"/>
    <w:rsid w:val="007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2018-01-16T21:46:00Z</dcterms:created>
  <dcterms:modified xsi:type="dcterms:W3CDTF">2018-01-16T21:51:00Z</dcterms:modified>
</cp:coreProperties>
</file>